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КОМИТЕТ СССР </w:t>
      </w: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ГИДРОМЕТЕОРОЛОГИИ И КОНТРОЛЮ ПРИРОДНОЙ СРЕДЫ</w:t>
      </w: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СБОРНИК МЕТОДИК ПО ОПРЕДЕЛЕНИЮ </w:t>
      </w: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КОНЦЕНТРАЦИЙ ЗАГРЯЗНЯЮЩИХ ВЕЩЕСТВ </w:t>
      </w: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ПРОМЫШЛЕННЫХ ВЫБРОСАХ</w:t>
      </w: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168" w:rsidRDefault="001B6168" w:rsidP="001B61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6E4" w:rsidRDefault="001B6168" w:rsidP="007D66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ЛЕНИНГРАД.  ГИДРОМЕТЕОИЗДАТ 1987</w:t>
      </w:r>
    </w:p>
    <w:p w:rsidR="007D66E4" w:rsidRDefault="007D66E4" w:rsidP="007D66E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BAF" w:rsidRDefault="006D26A5" w:rsidP="007D66E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МЕТОДИКА ОПРЕДЕЛЕНИЯ КОНЦЕНТРАЦИИ </w:t>
      </w:r>
    </w:p>
    <w:p w:rsidR="006D26A5" w:rsidRDefault="006D26A5" w:rsidP="00244BAF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СЕРОВОДОРОДА ИОДОМЕТРИЧЕСКИМ МЕТОДОМ </w:t>
      </w:r>
      <w:bookmarkEnd w:id="0"/>
    </w:p>
    <w:p w:rsidR="00244BAF" w:rsidRDefault="00244BAF" w:rsidP="00244BAF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BAF" w:rsidRPr="00244BAF" w:rsidRDefault="00244BAF" w:rsidP="00244BAF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6A5" w:rsidRPr="00244BAF" w:rsidRDefault="00244BAF" w:rsidP="00244BAF">
      <w:pPr>
        <w:tabs>
          <w:tab w:val="left" w:pos="59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6D26A5"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методики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. Методика предназначена для определения кон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центрации сероводорода в дымовых газах предприятий газовой промышлен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ности, а также в вентиляционных выбросах вискозных производств. Пара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метры анализируемого газа: температура 20—45</w:t>
      </w:r>
      <w:proofErr w:type="gram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 xml:space="preserve"> °С</w:t>
      </w:r>
      <w:proofErr w:type="gram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, относительная влажность 30—80 %, содержание сероводорода 50— 25 000 мг/м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; в анализируемом газе пыли не содержится.</w:t>
      </w:r>
    </w:p>
    <w:p w:rsidR="006D26A5" w:rsidRPr="00244BAF" w:rsidRDefault="006D26A5" w:rsidP="00244B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Суммарная погрешность методики во всем интервале концентраций не превышает 20 %.</w:t>
      </w:r>
    </w:p>
    <w:p w:rsidR="006D26A5" w:rsidRPr="00244BAF" w:rsidRDefault="00244BAF" w:rsidP="00244BAF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D26A5"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измерения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. В основе метода лежит ГОСТ 17556—81. Метод заклю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чается в поглощении сероводорода раствором подкисленного хлористого кад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мия (для устранения мешающего влияния меркаптанов) и последующем </w:t>
      </w:r>
      <w:proofErr w:type="spell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иод</w:t>
      </w:r>
      <w:proofErr w:type="gram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spell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метрическом определении образовавшегося сульфида кадмия в поглотитель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ном растворе. Поглотительный раствор для улавливания сероводорода из </w:t>
      </w:r>
      <w:proofErr w:type="spell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вентвыбросов</w:t>
      </w:r>
      <w:proofErr w:type="spell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вискозных производств готовится </w:t>
      </w:r>
      <w:proofErr w:type="gram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слабощелочным</w:t>
      </w:r>
      <w:proofErr w:type="gram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рН</w:t>
      </w:r>
      <w:proofErr w:type="spellEnd"/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 xml:space="preserve"> 8). Присут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ствие сероуглерода (до 5000 мг/м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="006D26A5" w:rsidRPr="00244BAF">
        <w:rPr>
          <w:rFonts w:ascii="Times New Roman" w:eastAsia="Times New Roman" w:hAnsi="Times New Roman" w:cs="Times New Roman"/>
          <w:bCs/>
          <w:sz w:val="24"/>
          <w:szCs w:val="24"/>
        </w:rPr>
        <w:t>) мешающего влияния не оказывает.</w:t>
      </w:r>
    </w:p>
    <w:p w:rsidR="006D26A5" w:rsidRPr="00244BAF" w:rsidRDefault="00244BAF" w:rsidP="00244BAF">
      <w:pPr>
        <w:keepNext/>
        <w:keepLines/>
        <w:tabs>
          <w:tab w:val="left" w:pos="556"/>
        </w:tabs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D26A5" w:rsidRPr="00244BA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измерений, реактивы, материалы:</w:t>
      </w:r>
      <w:bookmarkEnd w:id="1"/>
    </w:p>
    <w:p w:rsidR="006D26A5" w:rsidRPr="00244BAF" w:rsidRDefault="006D26A5" w:rsidP="00244B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склянки поглотительные с распылителями на капиллярной трубке, ем</w:t>
      </w:r>
      <w:r w:rsidRPr="00244BAF">
        <w:rPr>
          <w:rFonts w:ascii="Times New Roman" w:eastAsia="Times New Roman" w:hAnsi="Times New Roman" w:cs="Times New Roman"/>
          <w:sz w:val="24"/>
          <w:szCs w:val="24"/>
        </w:rPr>
        <w:softHyphen/>
        <w:t>костью 100 мл, ГОСТ 10378— 73;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колбы конические емкостью 250 мл, ГОСТ 10394—72;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бюретки емкостью 25 мл, ГОСТ 20292—74;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посуда мерная лабораторная стеклянная, ГОСТ 1770—74;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цилиндры мерные, емкостью 10, 25, 100, 1000 мл;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колба мерная, емкостью 1000 мл;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пипетки мерные, емкостью 10, 20 мл;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секундомер, ГОСТ 5072—79;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весы ВЛА-200-М, класс 2, ГОСТ 24104—80Е;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меры массы, ГОСТ 7328—82Е;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барометр-анероид, ГОСТ 23696—79;</w:t>
      </w:r>
    </w:p>
    <w:p w:rsidR="006D26A5" w:rsidRPr="00244BAF" w:rsidRDefault="006D26A5" w:rsidP="00244BA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термометр стеклянный лабораторный, шкала 0—50</w:t>
      </w:r>
      <w:proofErr w:type="gramStart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244BAF">
        <w:rPr>
          <w:rFonts w:ascii="Times New Roman" w:eastAsia="Times New Roman" w:hAnsi="Times New Roman" w:cs="Times New Roman"/>
          <w:sz w:val="24"/>
          <w:szCs w:val="24"/>
        </w:rPr>
        <w:t>, цена деления 0,5 °С, ГОСТ 215—73Е;</w:t>
      </w:r>
    </w:p>
    <w:p w:rsidR="006D26A5" w:rsidRPr="00244BAF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счетчик газовый барабанный типа ГСБ-400;</w:t>
      </w:r>
    </w:p>
    <w:p w:rsidR="002A5E6B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электроаспиратор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типа М-822, ЭА-1 или аспиратор водяной, ГОСТ 13478—75; </w:t>
      </w:r>
      <w:r w:rsidR="002A5E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A5E6B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кадмий хлористый, ГОСТ 4330—76, 10 %-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водный раствор; </w:t>
      </w:r>
    </w:p>
    <w:p w:rsidR="00315773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кислота соляная, 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хч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>, ГОСТ 3118—77, растворы 0,1 моль/</w:t>
      </w:r>
      <w:proofErr w:type="gramStart"/>
      <w:r w:rsidRPr="00244B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и 1:1;</w:t>
      </w:r>
    </w:p>
    <w:p w:rsidR="00315773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кадмий уксуснокислый, ГОСТ 5824—79, 3 %-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раствор; </w:t>
      </w:r>
    </w:p>
    <w:p w:rsidR="00315773" w:rsidRDefault="006D26A5" w:rsidP="00244BAF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натрия гидроокись, 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хч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>, ГОСТ 4328—77, раствор 0,1 моль/</w:t>
      </w:r>
      <w:proofErr w:type="gramStart"/>
      <w:r w:rsidRPr="00244B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D26A5" w:rsidRPr="00244BAF" w:rsidRDefault="006D26A5" w:rsidP="00315773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иод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>, стандарт-титр (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фиксанал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>), растворы 0,1 и 0,01 моль/</w:t>
      </w:r>
      <w:proofErr w:type="gramStart"/>
      <w:r w:rsidRPr="00244BAF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, ТУ 6-09-2540—72; натрий 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серноватистокислый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(тиосульфат натрия), стандарт-титр (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фик</w:t>
      </w:r>
      <w:r w:rsidRPr="00244BAF">
        <w:rPr>
          <w:rFonts w:ascii="Times New Roman" w:eastAsia="Times New Roman" w:hAnsi="Times New Roman" w:cs="Times New Roman"/>
          <w:sz w:val="24"/>
          <w:szCs w:val="24"/>
        </w:rPr>
        <w:softHyphen/>
        <w:t>санал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>), ТУ 6-09-2540—72, растворы 0,05 и 0,01 моль/л;</w:t>
      </w:r>
    </w:p>
    <w:p w:rsidR="006D26A5" w:rsidRPr="00244BAF" w:rsidRDefault="006D26A5" w:rsidP="0031577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AF">
        <w:rPr>
          <w:rFonts w:ascii="Times New Roman" w:eastAsia="Times New Roman" w:hAnsi="Times New Roman" w:cs="Times New Roman"/>
          <w:sz w:val="24"/>
          <w:szCs w:val="24"/>
        </w:rPr>
        <w:t>крахмал растворимый, ГОСТ 10163—76, 0,5 %-</w:t>
      </w:r>
      <w:proofErr w:type="spellStart"/>
      <w:r w:rsidRPr="00244BAF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244BAF">
        <w:rPr>
          <w:rFonts w:ascii="Times New Roman" w:eastAsia="Times New Roman" w:hAnsi="Times New Roman" w:cs="Times New Roman"/>
          <w:sz w:val="24"/>
          <w:szCs w:val="24"/>
        </w:rPr>
        <w:t xml:space="preserve"> раствор свежеприго</w:t>
      </w:r>
      <w:r w:rsidRPr="00244BAF">
        <w:rPr>
          <w:rFonts w:ascii="Times New Roman" w:eastAsia="Times New Roman" w:hAnsi="Times New Roman" w:cs="Times New Roman"/>
          <w:sz w:val="24"/>
          <w:szCs w:val="24"/>
        </w:rPr>
        <w:softHyphen/>
        <w:t>товленный;</w:t>
      </w:r>
    </w:p>
    <w:p w:rsidR="00D736FB" w:rsidRDefault="009E271E" w:rsidP="00D73BDB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вода дистиллированная, ГОСТ 6709—72. </w:t>
      </w:r>
    </w:p>
    <w:p w:rsidR="009E271E" w:rsidRDefault="009E271E" w:rsidP="00D73BDB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b/>
          <w:bCs/>
          <w:sz w:val="24"/>
          <w:szCs w:val="24"/>
        </w:rPr>
        <w:t>4. Подготовка и проведение измерений.</w:t>
      </w:r>
    </w:p>
    <w:p w:rsidR="00D73BDB" w:rsidRPr="00D736FB" w:rsidRDefault="00D73BDB" w:rsidP="00D73BDB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E271E" w:rsidRDefault="009E271E" w:rsidP="00D736FB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i/>
          <w:iCs/>
          <w:sz w:val="24"/>
          <w:szCs w:val="24"/>
        </w:rPr>
        <w:t>Отбор проб</w:t>
      </w:r>
    </w:p>
    <w:p w:rsidR="00D73BDB" w:rsidRPr="00D736FB" w:rsidRDefault="00D73BDB" w:rsidP="00D736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271E" w:rsidRPr="00D736FB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Пробу газа отбирают из газохода с помощью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газозаборной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трубки, дли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не менее 1/6 диаметра трубопровода, через штуцер, установленный на горизонтальном участке, выбранном с учетом безопасности работ и удобства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пробоотбора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Пробоотборные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линии должны быть </w:t>
      </w:r>
      <w:r w:rsidR="00D73BDB">
        <w:rPr>
          <w:rFonts w:ascii="Times New Roman" w:eastAsia="Times New Roman" w:hAnsi="Times New Roman" w:cs="Times New Roman"/>
          <w:sz w:val="24"/>
          <w:szCs w:val="24"/>
        </w:rPr>
        <w:t xml:space="preserve">изготовлены из </w:t>
      </w:r>
      <w:proofErr w:type="spellStart"/>
      <w:r w:rsidR="00D73BDB">
        <w:rPr>
          <w:rFonts w:ascii="Times New Roman" w:eastAsia="Times New Roman" w:hAnsi="Times New Roman" w:cs="Times New Roman"/>
          <w:sz w:val="24"/>
          <w:szCs w:val="24"/>
        </w:rPr>
        <w:t>коррозион</w:t>
      </w:r>
      <w:proofErr w:type="spellEnd"/>
      <w:r w:rsidR="00D73B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D73B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t>стойкого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материала. Применяют стальные, алюминиевые или стеклянные трубки, которые присоединяют одним концом встык к поглотительным склян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кам. Место отбора проб в зимних условиях должно быть утепленным. Перед отбором пробы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пробоотборные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линии должны быть продуты испытуемым газом через тройник, установленный перед входом в поглотительные склянки.</w:t>
      </w:r>
    </w:p>
    <w:p w:rsidR="009E271E" w:rsidRPr="00D736FB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t>Для улавливания сероводорода из выбросов газовой промышленности в две поглотительные склянки заливают поглотительные растворы: по 50 мл 10 %-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раствора хлористого кадмия и по 15 мл раствора концентрацией 0,1 моль/л соляной кислоты. Для улавливания сероводорода из вентиляцион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ных выбросов вискозных произво</w:t>
      </w:r>
      <w:proofErr w:type="gramStart"/>
      <w:r w:rsidRPr="00D736FB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D736FB">
        <w:rPr>
          <w:rFonts w:ascii="Times New Roman" w:eastAsia="Times New Roman" w:hAnsi="Times New Roman" w:cs="Times New Roman"/>
          <w:sz w:val="24"/>
          <w:szCs w:val="24"/>
        </w:rPr>
        <w:t>оглотительные склянки заливают по 50 мл раствора, полученного смешением 3 %-</w:t>
      </w:r>
      <w:r w:rsidR="00D7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раствора ацетата кадмия и раствора едкого натра концентрацией 0,1 моль/л в соотношении объемов 14:1.</w:t>
      </w:r>
    </w:p>
    <w:p w:rsidR="009E271E" w:rsidRPr="00D736FB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6FB">
        <w:rPr>
          <w:rFonts w:ascii="Times New Roman" w:eastAsia="Times New Roman" w:hAnsi="Times New Roman" w:cs="Times New Roman"/>
          <w:sz w:val="24"/>
          <w:szCs w:val="24"/>
        </w:rPr>
        <w:t>Склянки соединяют последовательно встык резиновыми или полиэтилено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выми муфтами; входную трубку первой склянки подсоединяют встык к источни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ку испытуемого газа, а выходную трубку второй соединяют с газовым счет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чиком, если давление в исследуемой системе превышает 1500 мм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. ст. Если же давление меньше 1500 мм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. ст., к газовому счетчику подсоединяют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электро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аспиратор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или пользуются в качестве побудителя расхода водяным аспира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тором.</w:t>
      </w:r>
      <w:proofErr w:type="gram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Проверяют герметичность собранной схемы.</w:t>
      </w:r>
    </w:p>
    <w:p w:rsidR="009E271E" w:rsidRPr="00D736FB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Исследуемая проба газа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аспирируется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с объемным расходом не более 20 дм</w:t>
      </w:r>
      <w:r w:rsidRPr="00D736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t>/ч так, чтобы поглотительный раствор во второй склянке оставался прозрачным. Для газов вискозного производства необходимо отобрать на анализ 5—10 дм</w:t>
      </w:r>
      <w:r w:rsidRPr="00D736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t>; для газовой промышленности 0,1—0,2 дм</w:t>
      </w:r>
      <w:r w:rsidRPr="00D736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при средней концентрации сероводорода 25 000 мг/м</w:t>
      </w:r>
      <w:r w:rsidRPr="00D736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(ГОСТ 17556—81). Во время отбора проб регистрируют температуру и давление и определяют объем пропущенного газа газовым счетчиком или по объему вытекшей из аспиратора воды при использовании водяного аспиратора.</w:t>
      </w:r>
    </w:p>
    <w:p w:rsidR="009E271E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пропускания газа поглотительные склянки отсоединяют от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пробоотборной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линии, счетчика и аспиратора, закрывают заглушками и переносят в лабораторию. Срок хранения пробы не более 5 ч.</w:t>
      </w:r>
    </w:p>
    <w:p w:rsidR="00D73BDB" w:rsidRPr="00D736FB" w:rsidRDefault="00D73BDB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71E" w:rsidRDefault="009E271E" w:rsidP="00244BAF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проб</w:t>
      </w:r>
    </w:p>
    <w:p w:rsidR="00D73BDB" w:rsidRPr="00D736FB" w:rsidRDefault="00D73BDB" w:rsidP="00244BA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271E" w:rsidRPr="00D736FB" w:rsidRDefault="009E271E" w:rsidP="00D73BD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Содержимое первой поглотительной склянки переносят в коническую колбу, тщательно обмывают стенки склянки дистиллированной водой, сливая ее в ту же колбу. В колбу пипеткой приливают 10 мл раствора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и, убедив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шись в избытке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по бурой окраске раствора, помещают колбу в теплое место на 5 мин, добавляют 10 мл НС</w:t>
      </w:r>
      <w:proofErr w:type="gramStart"/>
      <w:r w:rsidRPr="00D736F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(1:1) и титруют избыток </w:t>
      </w:r>
      <w:proofErr w:type="spellStart"/>
      <w:r w:rsidRPr="00D736FB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D736FB">
        <w:rPr>
          <w:rFonts w:ascii="Times New Roman" w:eastAsia="Times New Roman" w:hAnsi="Times New Roman" w:cs="Times New Roman"/>
          <w:sz w:val="24"/>
          <w:szCs w:val="24"/>
        </w:rPr>
        <w:t xml:space="preserve"> раство</w:t>
      </w:r>
      <w:r w:rsidRPr="00D736FB">
        <w:rPr>
          <w:rFonts w:ascii="Times New Roman" w:eastAsia="Times New Roman" w:hAnsi="Times New Roman" w:cs="Times New Roman"/>
          <w:sz w:val="24"/>
          <w:szCs w:val="24"/>
        </w:rPr>
        <w:softHyphen/>
        <w:t>ром тиосульфата натрия до светло-желтой окраски раствора, приливают 1 мл раствора крахмала и продолжают титровать до исчезновения синей окраски.</w:t>
      </w:r>
    </w:p>
    <w:p w:rsidR="009110D0" w:rsidRPr="001904D0" w:rsidRDefault="00D73BDB" w:rsidP="00EF3E40">
      <w:pPr>
        <w:tabs>
          <w:tab w:val="left" w:pos="1182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271E" w:rsidRPr="00D736FB">
        <w:rPr>
          <w:rFonts w:ascii="Times New Roman" w:eastAsia="Times New Roman" w:hAnsi="Times New Roman" w:cs="Times New Roman"/>
          <w:sz w:val="24"/>
          <w:szCs w:val="24"/>
        </w:rPr>
        <w:t>Вторая поглотительная склянка является контрольной. При обнаружении</w:t>
      </w:r>
      <w:r w:rsidR="00EF3E40" w:rsidRPr="00EF3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</w:rPr>
        <w:t>в ней сероводорода опыт следует повторить. Аналогично производят титрова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</w:rPr>
        <w:softHyphen/>
        <w:t>ние поглотительного раствора без пропускания газа.</w:t>
      </w:r>
    </w:p>
    <w:p w:rsidR="009110D0" w:rsidRDefault="001904D0" w:rsidP="001904D0">
      <w:pPr>
        <w:tabs>
          <w:tab w:val="left" w:pos="56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6. </w:t>
      </w:r>
      <w:r w:rsidR="009110D0" w:rsidRPr="00190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Обработка результатов измерений. </w:t>
      </w:r>
      <w:r w:rsidR="009110D0" w:rsidRPr="001904D0">
        <w:rPr>
          <w:rFonts w:ascii="Times New Roman" w:eastAsia="Times New Roman" w:hAnsi="Times New Roman" w:cs="Times New Roman"/>
          <w:bCs/>
          <w:sz w:val="24"/>
          <w:szCs w:val="24"/>
        </w:rPr>
        <w:t>Концентрацию сероводорода (С мг/м</w:t>
      </w:r>
      <w:r w:rsidR="009110D0" w:rsidRPr="001904D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="009110D0" w:rsidRPr="001904D0">
        <w:rPr>
          <w:rFonts w:ascii="Times New Roman" w:eastAsia="Times New Roman" w:hAnsi="Times New Roman" w:cs="Times New Roman"/>
          <w:bCs/>
          <w:sz w:val="24"/>
          <w:szCs w:val="24"/>
        </w:rPr>
        <w:t>) вычисляют по формуле</w:t>
      </w:r>
    </w:p>
    <w:p w:rsidR="001904D0" w:rsidRDefault="001904D0" w:rsidP="001904D0">
      <w:pPr>
        <w:tabs>
          <w:tab w:val="left" w:pos="406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04D0">
        <w:rPr>
          <w:rFonts w:ascii="Times New Roman" w:eastAsia="Times New Roman" w:hAnsi="Times New Roman" w:cs="Times New Roman"/>
          <w:sz w:val="24"/>
          <w:szCs w:val="24"/>
          <w:lang w:eastAsia="en-US"/>
        </w:rPr>
        <w:t>С=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(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1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en-US"/>
        </w:rPr>
        <w:t>2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) </w:t>
      </w:r>
      <w:r w:rsidR="009110D0" w:rsidRPr="001904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1904D0" w:rsidRDefault="009110D0" w:rsidP="001904D0">
      <w:pPr>
        <w:tabs>
          <w:tab w:val="left" w:pos="4068"/>
        </w:tabs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1904D0" w:rsidRPr="001904D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0</w:t>
      </w:r>
    </w:p>
    <w:p w:rsidR="009110D0" w:rsidRPr="001904D0" w:rsidRDefault="009110D0" w:rsidP="00244BAF">
      <w:pPr>
        <w:tabs>
          <w:tab w:val="left" w:pos="4068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04D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9110D0" w:rsidRPr="001904D0" w:rsidRDefault="009110D0" w:rsidP="00244B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4D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n-US"/>
        </w:rPr>
        <w:t>o</w:t>
      </w:r>
      <w:r w:rsidRPr="001904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 объем пробы газа, приведенный к нормальным условиям (0</w:t>
      </w:r>
      <w:proofErr w:type="gramStart"/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 и 760 мм </w:t>
      </w:r>
      <w:proofErr w:type="spellStart"/>
      <w:r w:rsidRPr="001904D0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1904D0">
        <w:rPr>
          <w:rFonts w:ascii="Times New Roman" w:eastAsia="Times New Roman" w:hAnsi="Times New Roman" w:cs="Times New Roman"/>
          <w:sz w:val="24"/>
          <w:szCs w:val="24"/>
        </w:rPr>
        <w:t>. ст.), дм</w:t>
      </w:r>
      <w:r w:rsidRPr="00190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="001904D0" w:rsidRPr="001904D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1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—объем раствора 0,1 или 0,01 моль/л тиосульфата натрия, израсходованный на титрование поглотительного раствора без про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пускания газа, мл; </w:t>
      </w:r>
      <w:r w:rsidRPr="001904D0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1904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 объем раствора 0,1 или 0,01 моль/л тиосульфата натрия, израсходованный на титрование поглотительного раствора после про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>пускания исследуемого газа, мл; а — молярная концентрация раствора тиосуль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>фата натрия, моль/</w:t>
      </w:r>
      <w:proofErr w:type="gramStart"/>
      <w:r w:rsidRPr="001904D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904D0">
        <w:rPr>
          <w:rFonts w:ascii="Times New Roman" w:eastAsia="Times New Roman" w:hAnsi="Times New Roman" w:cs="Times New Roman"/>
          <w:sz w:val="24"/>
          <w:szCs w:val="24"/>
        </w:rPr>
        <w:t>; 17— молярная масса эквивалента сероводорода, г/моль.</w:t>
      </w:r>
    </w:p>
    <w:p w:rsidR="009110D0" w:rsidRDefault="009110D0" w:rsidP="001904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4D0">
        <w:rPr>
          <w:rFonts w:ascii="Times New Roman" w:eastAsia="Times New Roman" w:hAnsi="Times New Roman" w:cs="Times New Roman"/>
          <w:sz w:val="24"/>
          <w:szCs w:val="24"/>
        </w:rPr>
        <w:t>Объем газа при нормальных условиях (Ко дм</w:t>
      </w:r>
      <w:r w:rsidRPr="00190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) рассчитывают по формуле</w:t>
      </w:r>
    </w:p>
    <w:p w:rsidR="001904D0" w:rsidRPr="001904D0" w:rsidRDefault="001904D0" w:rsidP="001904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4D0" w:rsidRPr="008310DE" w:rsidRDefault="001904D0" w:rsidP="00244B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n-US"/>
        </w:rPr>
        <w:t>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=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</w:rPr>
        <w:t>273</w:t>
      </w:r>
      <w:proofErr w:type="gramEnd"/>
      <w:r w:rsidRPr="008310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</w:t>
      </w:r>
      <w:proofErr w:type="spellStart"/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val="en-US" w:eastAsia="en-US"/>
        </w:rPr>
        <w:t>r</w:t>
      </w:r>
      <w:proofErr w:type="spellEnd"/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(Р + </w:t>
      </w:r>
      <w:r w:rsidRPr="001904D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A</w:t>
      </w:r>
      <w:r w:rsidR="009110D0" w:rsidRPr="001904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9110D0" w:rsidRPr="008310DE" w:rsidRDefault="001904D0" w:rsidP="00244B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0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110D0" w:rsidRPr="001904D0">
        <w:rPr>
          <w:rFonts w:ascii="Times New Roman" w:eastAsia="Times New Roman" w:hAnsi="Times New Roman" w:cs="Times New Roman"/>
          <w:sz w:val="24"/>
          <w:szCs w:val="24"/>
        </w:rPr>
        <w:t xml:space="preserve">760 (273 + </w:t>
      </w:r>
      <w:r w:rsidRPr="001904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proofErr w:type="gramStart"/>
      <w:r w:rsidRPr="008310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8310D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1904D0" w:rsidRDefault="001904D0" w:rsidP="00244B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4D0" w:rsidRPr="001904D0" w:rsidRDefault="001904D0" w:rsidP="00244B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0D0" w:rsidRPr="001904D0" w:rsidRDefault="009110D0" w:rsidP="00244BA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4D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n-US"/>
        </w:rPr>
        <w:t>r</w:t>
      </w:r>
      <w:proofErr w:type="spellEnd"/>
      <w:r w:rsidRPr="001904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 объем пропущенного через поглотитель газа при условиях отбора, дм</w:t>
      </w:r>
      <w:r w:rsidRPr="00190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310D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1904D0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gramEnd"/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мосферное давление, мм </w:t>
      </w:r>
      <w:proofErr w:type="spellStart"/>
      <w:r w:rsidRPr="001904D0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1904D0">
        <w:rPr>
          <w:rFonts w:ascii="Times New Roman" w:eastAsia="Times New Roman" w:hAnsi="Times New Roman" w:cs="Times New Roman"/>
          <w:sz w:val="24"/>
          <w:szCs w:val="24"/>
        </w:rPr>
        <w:t xml:space="preserve">. ст.; </w:t>
      </w:r>
      <w:r w:rsidR="008310D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310D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 избыточное давление (разреже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>ние) у счетчика или водяного аспиратора, замеренное при отборе из газохо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да, мм </w:t>
      </w:r>
      <w:proofErr w:type="spellStart"/>
      <w:r w:rsidRPr="001904D0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1904D0">
        <w:rPr>
          <w:rFonts w:ascii="Times New Roman" w:eastAsia="Times New Roman" w:hAnsi="Times New Roman" w:cs="Times New Roman"/>
          <w:sz w:val="24"/>
          <w:szCs w:val="24"/>
        </w:rPr>
        <w:t>. ст.;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04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</w:t>
      </w:r>
      <w:r w:rsidRPr="001904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t>— температура газа перед измерителем расхода в момент отбора пробы, °С.</w:t>
      </w:r>
    </w:p>
    <w:p w:rsidR="009110D0" w:rsidRPr="008310DE" w:rsidRDefault="008310DE" w:rsidP="008310DE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6. </w:t>
      </w:r>
      <w:r w:rsidR="009110D0" w:rsidRPr="00190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Техника безопасности. </w:t>
      </w:r>
      <w:r w:rsidR="009110D0" w:rsidRPr="008310DE">
        <w:rPr>
          <w:rFonts w:ascii="Times New Roman" w:eastAsia="Times New Roman" w:hAnsi="Times New Roman" w:cs="Times New Roman"/>
          <w:bCs/>
          <w:sz w:val="24"/>
          <w:szCs w:val="24"/>
        </w:rPr>
        <w:t>К отбору проб допускаются операторы техно</w:t>
      </w:r>
      <w:r w:rsidR="009110D0" w:rsidRPr="008310D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логических установок и пробоотборщики, прошедшие специальный инструктаж. Проведение анализов выполняется лицами, обученными правилам работы в хи</w:t>
      </w:r>
      <w:r w:rsidR="009110D0" w:rsidRPr="008310D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мической лаборатории, имеющими допуск к самостоятельной работе. Обяза</w:t>
      </w:r>
      <w:r w:rsidR="009110D0" w:rsidRPr="008310DE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тельным является ознакомление со следующими инструкциями: «Общие правила по технике безопасности при работе в химической лаборатории», «Правила пожарной безопасности на предприятиях газовой (или химической) промышленности», «Правила пользования спецодеждой и предохранительными приспособлениями», «Оказание помощи при несчастных случаях».</w:t>
      </w:r>
    </w:p>
    <w:p w:rsidR="009110D0" w:rsidRPr="008310DE" w:rsidRDefault="007773FE" w:rsidP="007773FE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16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6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9110D0" w:rsidRPr="007773F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 оператора</w:t>
      </w:r>
      <w:r w:rsidR="009110D0" w:rsidRPr="008310DE">
        <w:rPr>
          <w:rFonts w:ascii="Times New Roman" w:eastAsia="Times New Roman" w:hAnsi="Times New Roman" w:cs="Times New Roman"/>
          <w:bCs/>
          <w:sz w:val="24"/>
          <w:szCs w:val="24"/>
        </w:rPr>
        <w:t>. К работе могут привлекаться лаборанты, допускаемые по общим правилам к работе с сероводородом, имеющие опыт работы по анализу газов не менее 2 лет и прошедшие инструктаж по технике безопасности работ в химической лаборатории.</w:t>
      </w:r>
    </w:p>
    <w:p w:rsidR="009110D0" w:rsidRPr="00244BAF" w:rsidRDefault="009110D0" w:rsidP="00EF3E4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1904D0">
        <w:rPr>
          <w:rFonts w:ascii="Times New Roman" w:eastAsia="Times New Roman" w:hAnsi="Times New Roman" w:cs="Times New Roman"/>
          <w:sz w:val="24"/>
          <w:szCs w:val="24"/>
        </w:rPr>
        <w:t>Лаборант должен выполнить не менее 3 анализов по определению содер</w:t>
      </w:r>
      <w:r w:rsidRPr="001904D0">
        <w:rPr>
          <w:rFonts w:ascii="Times New Roman" w:eastAsia="Times New Roman" w:hAnsi="Times New Roman" w:cs="Times New Roman"/>
          <w:sz w:val="24"/>
          <w:szCs w:val="24"/>
        </w:rPr>
        <w:softHyphen/>
        <w:t>жания сероводорода в смесях с известными концентрациями и получить результат, отличающийся от заданного значения концентрации сероводорода в смеси, с погрешностью не более чем 20 %, а также случайную составляющую погрешность не более ±8 %.</w:t>
      </w: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110D0" w:rsidRPr="00244BAF" w:rsidRDefault="009110D0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E271E" w:rsidRPr="00244BAF" w:rsidRDefault="009E271E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E271E" w:rsidRPr="00244BAF" w:rsidRDefault="009E271E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p w:rsidR="009E271E" w:rsidRPr="00244BAF" w:rsidRDefault="009E271E" w:rsidP="00244BAF">
      <w:pPr>
        <w:tabs>
          <w:tab w:val="left" w:pos="1182"/>
        </w:tabs>
        <w:spacing w:after="0" w:line="0" w:lineRule="atLeast"/>
        <w:rPr>
          <w:rFonts w:ascii="Times New Roman" w:hAnsi="Times New Roman" w:cs="Times New Roman"/>
        </w:rPr>
      </w:pPr>
    </w:p>
    <w:sectPr w:rsidR="009E271E" w:rsidRPr="00244BAF" w:rsidSect="006D26A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22F96D32"/>
    <w:multiLevelType w:val="multilevel"/>
    <w:tmpl w:val="0000000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26A5"/>
    <w:rsid w:val="001904D0"/>
    <w:rsid w:val="001B6168"/>
    <w:rsid w:val="00244BAF"/>
    <w:rsid w:val="002A5E6B"/>
    <w:rsid w:val="00315773"/>
    <w:rsid w:val="00496AB6"/>
    <w:rsid w:val="006D26A5"/>
    <w:rsid w:val="007773FE"/>
    <w:rsid w:val="007D66E4"/>
    <w:rsid w:val="008310DE"/>
    <w:rsid w:val="009110D0"/>
    <w:rsid w:val="00944747"/>
    <w:rsid w:val="009E271E"/>
    <w:rsid w:val="00B22BFB"/>
    <w:rsid w:val="00D736FB"/>
    <w:rsid w:val="00D73BDB"/>
    <w:rsid w:val="00EF3E40"/>
    <w:rsid w:val="00F068A6"/>
    <w:rsid w:val="00F3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dcterms:created xsi:type="dcterms:W3CDTF">2012-06-27T09:24:00Z</dcterms:created>
  <dcterms:modified xsi:type="dcterms:W3CDTF">2012-07-24T09:46:00Z</dcterms:modified>
</cp:coreProperties>
</file>